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02E4B" w14:textId="67427C12" w:rsidR="00962344" w:rsidRPr="00B33E69" w:rsidRDefault="007438A1" w:rsidP="00B33E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3E69">
        <w:rPr>
          <w:rFonts w:ascii="Times New Roman" w:hAnsi="Times New Roman" w:cs="Times New Roman"/>
          <w:b/>
          <w:color w:val="000000"/>
          <w:sz w:val="24"/>
          <w:szCs w:val="24"/>
        </w:rPr>
        <w:t>СПРАВКА-ОБОСНОВАНИЕ</w:t>
      </w:r>
    </w:p>
    <w:p w14:paraId="4A7F2EB7" w14:textId="2C5C2D4C" w:rsidR="007438A1" w:rsidRPr="00B33E69" w:rsidRDefault="007438A1" w:rsidP="00B33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E69">
        <w:rPr>
          <w:rFonts w:ascii="Times New Roman" w:hAnsi="Times New Roman" w:cs="Times New Roman"/>
          <w:b/>
          <w:bCs/>
          <w:sz w:val="24"/>
          <w:szCs w:val="24"/>
        </w:rPr>
        <w:t>к проекту Закона Кыргызской Республики</w:t>
      </w:r>
      <w:r w:rsidR="00B33E69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r w:rsidRPr="00B33E69">
        <w:rPr>
          <w:rFonts w:ascii="Times New Roman" w:hAnsi="Times New Roman" w:cs="Times New Roman"/>
          <w:b/>
          <w:bCs/>
          <w:sz w:val="24"/>
          <w:szCs w:val="24"/>
        </w:rPr>
        <w:t>«О</w:t>
      </w:r>
      <w:r w:rsidR="00962344" w:rsidRPr="00B33E69">
        <w:rPr>
          <w:rFonts w:ascii="Times New Roman" w:hAnsi="Times New Roman" w:cs="Times New Roman"/>
          <w:b/>
          <w:bCs/>
          <w:sz w:val="24"/>
          <w:szCs w:val="24"/>
          <w:lang w:val="ky-KG"/>
        </w:rPr>
        <w:t>б интеллектуальных правах</w:t>
      </w:r>
      <w:r w:rsidRPr="00B33E6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C3009BC" w14:textId="77777777" w:rsidR="007438A1" w:rsidRPr="00B33E69" w:rsidRDefault="007438A1" w:rsidP="00B33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343DAF" w14:textId="35698F9E" w:rsidR="007438A1" w:rsidRPr="00B33E69" w:rsidRDefault="007438A1" w:rsidP="00B33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3E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Цель и задачи </w:t>
      </w:r>
    </w:p>
    <w:p w14:paraId="00000001" w14:textId="77777777" w:rsidR="006660FD" w:rsidRPr="00B33E69" w:rsidRDefault="002F2C2E" w:rsidP="00B3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E69">
        <w:rPr>
          <w:rFonts w:ascii="Times New Roman" w:eastAsia="Times New Roman" w:hAnsi="Times New Roman" w:cs="Times New Roman"/>
          <w:b/>
          <w:sz w:val="24"/>
          <w:szCs w:val="24"/>
        </w:rPr>
        <w:t>Основные подходы к изменению законодательства об интеллектуальных правах Кыргызской республики</w:t>
      </w:r>
    </w:p>
    <w:p w14:paraId="00000003" w14:textId="77777777" w:rsidR="006660FD" w:rsidRPr="00B33E69" w:rsidRDefault="002F2C2E" w:rsidP="00B3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E69">
        <w:rPr>
          <w:rFonts w:ascii="Times New Roman" w:eastAsia="Times New Roman" w:hAnsi="Times New Roman" w:cs="Times New Roman"/>
          <w:sz w:val="24"/>
          <w:szCs w:val="24"/>
        </w:rPr>
        <w:t>Технологическое развитие, широкое внедрение цифровых систем существенно изменили характер мировой экономической системы. Охраняемые правом интеллектуальной собственности результаты творческой деятельности, стали доминирующим экономическим ресурсом и активом компаний. Несмотря на то, что роль сырья и энергоресурсов по-прежнему высока, эффективность и устойчивость экономики сегодня характеризует объем и динамика изменения нематериальных активов. Владение интеллектуальной собственностью является необходимым условием для</w:t>
      </w:r>
    </w:p>
    <w:p w14:paraId="00000004" w14:textId="77777777" w:rsidR="006660FD" w:rsidRPr="00B33E69" w:rsidRDefault="002F2C2E" w:rsidP="00B33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E6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интеграции страны в мировые цепочки наращивания добавленной стоимости;</w:t>
      </w:r>
    </w:p>
    <w:p w14:paraId="00000005" w14:textId="77777777" w:rsidR="006660FD" w:rsidRPr="00B33E69" w:rsidRDefault="002F2C2E" w:rsidP="00B33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E69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защиты внутреннего рынка и продвижения на внешний;</w:t>
      </w:r>
    </w:p>
    <w:p w14:paraId="00000006" w14:textId="77777777" w:rsidR="006660FD" w:rsidRPr="00B33E69" w:rsidRDefault="002F2C2E" w:rsidP="00B33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противостояния непредсказуемым политическим, </w:t>
      </w:r>
      <w:proofErr w:type="spellStart"/>
      <w:r w:rsidRPr="00B33E69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санкционным</w:t>
      </w:r>
      <w:proofErr w:type="spellEnd"/>
      <w:r w:rsidRPr="00B33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конъюнктурным изменениям на внешних рынках.</w:t>
      </w:r>
    </w:p>
    <w:p w14:paraId="00000007" w14:textId="77777777" w:rsidR="006660FD" w:rsidRPr="00B33E69" w:rsidRDefault="002F2C2E" w:rsidP="00B33E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E69"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Интеллектуальная собственность, в отличие от традиционной собственности на материальные объекты зависит от </w:t>
      </w:r>
    </w:p>
    <w:p w14:paraId="00000008" w14:textId="77777777" w:rsidR="006660FD" w:rsidRPr="00B33E69" w:rsidRDefault="002F2C2E" w:rsidP="00B33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E69">
        <w:rPr>
          <w:rFonts w:ascii="Times New Roman" w:eastAsia="Times New Roman" w:hAnsi="Times New Roman" w:cs="Times New Roman"/>
          <w:color w:val="000000"/>
          <w:sz w:val="24"/>
          <w:szCs w:val="24"/>
        </w:rPr>
        <w:t>гибкости и точности законодательства: чем более широкий круг результатов творчества может быть признан охраняемым, чем устойчивей гражданский оборот прав, тем выше будет стоимость нематериальных активов в национальной экономике и профицит от их использования;</w:t>
      </w:r>
    </w:p>
    <w:p w14:paraId="00000009" w14:textId="77777777" w:rsidR="006660FD" w:rsidRPr="00B33E69" w:rsidRDefault="002F2C2E" w:rsidP="00B33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эффективности защиты интеллектуальных прав: чем более доступны и прозрачны процедуры прекращения и предотвращения нарушений, тем выше инвестиционная привлекательность творческих видов деятельности и вложений в создание результатов творческой деятельности – от художественного до научно-технического творчества.  </w:t>
      </w:r>
    </w:p>
    <w:p w14:paraId="0000000A" w14:textId="77777777" w:rsidR="006660FD" w:rsidRPr="00B33E69" w:rsidRDefault="002F2C2E" w:rsidP="00B33E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E69">
        <w:rPr>
          <w:rFonts w:ascii="Times New Roman" w:eastAsia="Times New Roman" w:hAnsi="Times New Roman" w:cs="Times New Roman"/>
          <w:sz w:val="24"/>
          <w:szCs w:val="24"/>
        </w:rPr>
        <w:t>Деловые обычаи, законодательство и международные соглашения, создающие стимулы для инвестиций в создание и использование результатов творчества, формировалось более пяти столетий. Однако сейчас ситуация, в которой необходимо реализовывать нормы, радикально изменилась:</w:t>
      </w:r>
    </w:p>
    <w:p w14:paraId="0000000B" w14:textId="77777777" w:rsidR="006660FD" w:rsidRPr="00B33E69" w:rsidRDefault="002F2C2E" w:rsidP="00B33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E6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людей, занимающихся творчеством и инвестициями в творческую деятельность кратно возросло, что означает потребность в доступности и реализуемости норм широким кругом людей, не имеющих юридического образования;</w:t>
      </w:r>
    </w:p>
    <w:p w14:paraId="0000000C" w14:textId="77777777" w:rsidR="006660FD" w:rsidRPr="00B33E69" w:rsidRDefault="002F2C2E" w:rsidP="00B33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юристы-посредники, профессиональные управленцы и органы власти, работающие в сфере интеллектуальной собственности из драйверов развития рынка интеллектуальных прав стали "бутылочным горлышком" всей системы – они интуитивно стремятся сохранить свою монополию, но не в состоянии обеспечить нужную скорость и масштаб развития рынка нематериальной собственности;</w:t>
      </w:r>
    </w:p>
    <w:p w14:paraId="0000000D" w14:textId="77777777" w:rsidR="006660FD" w:rsidRPr="00B33E69" w:rsidRDefault="002F2C2E" w:rsidP="00B33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E6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 использование результатов творческой деятельности переместилось в цифровую среду, а значит нормы должны быть реализуемы цифровыми системами, сервисами и алгоритмами – ориентир на интерпретацию норм в сфере интеллектуальных прав людьми является серьёзным барьером развития рынков.</w:t>
      </w:r>
    </w:p>
    <w:p w14:paraId="0000000E" w14:textId="77777777" w:rsidR="006660FD" w:rsidRPr="00B33E69" w:rsidRDefault="002F2C2E" w:rsidP="00B33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E69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форм и видов результатов творчества значительно возросло – законодатели всех стран вводят все больше новых разновидностей произведений от театральных постановок до проектов архитектурной подсветки, но все равно не успевают за развитием творчества и технологий, при этом главные универсальные критерии правовой охраны – объективная, в том числе цифровая форма выражение и творческий труд остаются вне фокуса законодателей и общества.</w:t>
      </w:r>
    </w:p>
    <w:p w14:paraId="117D0690" w14:textId="77777777" w:rsidR="007438A1" w:rsidRDefault="007438A1" w:rsidP="00B33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80329F" w14:textId="77777777" w:rsidR="00B33E69" w:rsidRDefault="00B33E69" w:rsidP="00B33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522FAAC" w14:textId="77777777" w:rsidR="00B33E69" w:rsidRDefault="00B33E69" w:rsidP="00B33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9F7527B" w14:textId="77777777" w:rsidR="00B33E69" w:rsidRPr="00B33E69" w:rsidRDefault="00B33E69" w:rsidP="00B33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F76813C" w14:textId="77777777" w:rsidR="007438A1" w:rsidRPr="00B33E69" w:rsidRDefault="007438A1" w:rsidP="00B33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3E6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2. Описательная часть </w:t>
      </w:r>
    </w:p>
    <w:p w14:paraId="0000000F" w14:textId="77777777" w:rsidR="006660FD" w:rsidRPr="00B33E69" w:rsidRDefault="002F2C2E" w:rsidP="00B33E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E69">
        <w:rPr>
          <w:rFonts w:ascii="Times New Roman" w:eastAsia="Times New Roman" w:hAnsi="Times New Roman" w:cs="Times New Roman"/>
          <w:sz w:val="24"/>
          <w:szCs w:val="24"/>
        </w:rPr>
        <w:t>Предлагаемый к принятию законопроект "Об интеллектуальных правах в Кыргызской республики" имеет ряд существенных конструктивных отличий от ранее применявшихся в советский и постсоветский период законов:</w:t>
      </w:r>
    </w:p>
    <w:p w14:paraId="00000010" w14:textId="77777777" w:rsidR="006660FD" w:rsidRPr="00B33E69" w:rsidRDefault="002F2C2E" w:rsidP="00B33E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E69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 универсальные базовые критерии правой охраны для всех видов творческих результатов, что позволяет избежать фиксации в законе конкретных видов охраняемых результатов творческой деятельности и расширить сферы применения закона на все виды существующих и развивающихся креативных продуктов;</w:t>
      </w:r>
    </w:p>
    <w:p w14:paraId="00000011" w14:textId="77777777" w:rsidR="006660FD" w:rsidRPr="00B33E69" w:rsidRDefault="002F2C2E" w:rsidP="00B33E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E69">
        <w:rPr>
          <w:rFonts w:ascii="Times New Roman" w:eastAsia="Times New Roman" w:hAnsi="Times New Roman" w:cs="Times New Roman"/>
          <w:color w:val="000000"/>
          <w:sz w:val="24"/>
          <w:szCs w:val="24"/>
        </w:rPr>
        <w:t>увязывает в единую иерархию весь набор интеллектуальных прав, предлагаемых международными конвенциями – авторских, смежных, патентных, а также прав на средства индивидуализации, что позволяет избежать конфликтов разных режимов правовой охраны и злоупотреблений правами;</w:t>
      </w:r>
    </w:p>
    <w:p w14:paraId="00000012" w14:textId="77777777" w:rsidR="006660FD" w:rsidRPr="00B33E69" w:rsidRDefault="002F2C2E" w:rsidP="00B33E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E69">
        <w:rPr>
          <w:rFonts w:ascii="Times New Roman" w:eastAsia="Times New Roman" w:hAnsi="Times New Roman" w:cs="Times New Roman"/>
          <w:color w:val="000000"/>
          <w:sz w:val="24"/>
          <w:szCs w:val="24"/>
        </w:rPr>
        <w:t>исчерпывающе раскрывает содержание всех видов интеллектуальных прав, чтобы устранить любую неопределенность в их реализации и имплементировать нормы в форму алгоритмов, работающих в цифровой среде.</w:t>
      </w:r>
    </w:p>
    <w:p w14:paraId="00000013" w14:textId="77777777" w:rsidR="006660FD" w:rsidRPr="00B33E69" w:rsidRDefault="002F2C2E" w:rsidP="00B33E6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33E69">
        <w:rPr>
          <w:rFonts w:ascii="Times New Roman" w:eastAsia="Times New Roman" w:hAnsi="Times New Roman" w:cs="Times New Roman"/>
          <w:color w:val="C00000"/>
          <w:sz w:val="24"/>
          <w:szCs w:val="24"/>
        </w:rPr>
        <w:t>Политика</w:t>
      </w:r>
    </w:p>
    <w:p w14:paraId="00000014" w14:textId="77777777" w:rsidR="006660FD" w:rsidRPr="00B33E69" w:rsidRDefault="002F2C2E" w:rsidP="00B3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E6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политика в сфере интеллектуальной собственности должна формироваться исходя из </w:t>
      </w:r>
      <w:proofErr w:type="spellStart"/>
      <w:r w:rsidRPr="00B33E69">
        <w:rPr>
          <w:rFonts w:ascii="Times New Roman" w:eastAsia="Times New Roman" w:hAnsi="Times New Roman" w:cs="Times New Roman"/>
          <w:sz w:val="24"/>
          <w:szCs w:val="24"/>
        </w:rPr>
        <w:t>верхнеуровневой</w:t>
      </w:r>
      <w:proofErr w:type="spellEnd"/>
      <w:r w:rsidRPr="00B33E69">
        <w:rPr>
          <w:rFonts w:ascii="Times New Roman" w:eastAsia="Times New Roman" w:hAnsi="Times New Roman" w:cs="Times New Roman"/>
          <w:sz w:val="24"/>
          <w:szCs w:val="24"/>
        </w:rPr>
        <w:t xml:space="preserve"> и амбициозной задачи – наращивания нематериальных активов в национальной экономике. Ее решение лежит на стыке нескольких сфер регулирования – налоговой, инвестиционной и в целом экономической политики. Регулирование в области интеллектуальной собственности является важным дополняющим, а не самостоятельным инструментом. </w:t>
      </w:r>
    </w:p>
    <w:p w14:paraId="00000015" w14:textId="77777777" w:rsidR="006660FD" w:rsidRPr="00B33E69" w:rsidRDefault="002F2C2E" w:rsidP="00B3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E69">
        <w:rPr>
          <w:rFonts w:ascii="Times New Roman" w:eastAsia="Times New Roman" w:hAnsi="Times New Roman" w:cs="Times New Roman"/>
          <w:sz w:val="24"/>
          <w:szCs w:val="24"/>
        </w:rPr>
        <w:t xml:space="preserve">Наиболее прогрессивные страны, которые эффективно развивают экономику знаний, креативную экономику вопросы выработки государственной политики в сфере интеллектуальной собственности включают в полномочия органов власти, которые занимаются экономикой. Допустимо также вопросы политики передать органу власти, который отвечает за развитие цифровых ресурсов, поскольку рост оборота прав в цифровой среде является необходимым условием для решения экономических задач. </w:t>
      </w:r>
    </w:p>
    <w:p w14:paraId="00000016" w14:textId="77777777" w:rsidR="006660FD" w:rsidRPr="00B33E69" w:rsidRDefault="002F2C2E" w:rsidP="00B3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E69">
        <w:rPr>
          <w:rFonts w:ascii="Times New Roman" w:eastAsia="Times New Roman" w:hAnsi="Times New Roman" w:cs="Times New Roman"/>
          <w:sz w:val="24"/>
          <w:szCs w:val="24"/>
        </w:rPr>
        <w:t xml:space="preserve">В менее прогрессивных странах вопросы политики в сфере интеллектуальной собственности отнесены к полномочиям органов власти, отвечающих за науку и технологии, а также за сферу культуры, поскольку интеллектуальные права – основной инструмент защиты инвестиций в научно-техническую и другие виды творческой деятельности. </w:t>
      </w:r>
    </w:p>
    <w:p w14:paraId="00000017" w14:textId="77777777" w:rsidR="006660FD" w:rsidRPr="00B33E69" w:rsidRDefault="002F2C2E" w:rsidP="00B3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E69">
        <w:rPr>
          <w:rFonts w:ascii="Times New Roman" w:eastAsia="Times New Roman" w:hAnsi="Times New Roman" w:cs="Times New Roman"/>
          <w:sz w:val="24"/>
          <w:szCs w:val="24"/>
        </w:rPr>
        <w:t xml:space="preserve">В наиболее слабых юрисдикциях, не показывающих значительной динамики роста нематериальных активов и, как правило имеющих </w:t>
      </w:r>
      <w:proofErr w:type="spellStart"/>
      <w:r w:rsidRPr="00B33E69">
        <w:rPr>
          <w:rFonts w:ascii="Times New Roman" w:eastAsia="Times New Roman" w:hAnsi="Times New Roman" w:cs="Times New Roman"/>
          <w:sz w:val="24"/>
          <w:szCs w:val="24"/>
        </w:rPr>
        <w:t>стагнирующий</w:t>
      </w:r>
      <w:proofErr w:type="spellEnd"/>
      <w:r w:rsidRPr="00B33E69">
        <w:rPr>
          <w:rFonts w:ascii="Times New Roman" w:eastAsia="Times New Roman" w:hAnsi="Times New Roman" w:cs="Times New Roman"/>
          <w:sz w:val="24"/>
          <w:szCs w:val="24"/>
        </w:rPr>
        <w:t xml:space="preserve"> рынок интеллектуальных прав, вопросы политики по инерции отнесены к полномочиям патентного ведомства. </w:t>
      </w:r>
    </w:p>
    <w:p w14:paraId="00000018" w14:textId="77777777" w:rsidR="006660FD" w:rsidRPr="00B33E69" w:rsidRDefault="002F2C2E" w:rsidP="00B3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B33E69">
        <w:rPr>
          <w:rFonts w:ascii="Times New Roman" w:eastAsia="Times New Roman" w:hAnsi="Times New Roman" w:cs="Times New Roman"/>
          <w:sz w:val="24"/>
          <w:szCs w:val="24"/>
        </w:rPr>
        <w:t xml:space="preserve">Законопроект ориентирован на прогрессивную модель развития, что требует передачи полномочий по выработке государственной политики в сфере интеллектуальной собственности в экономико-цифровой блок правительства. При этом технические и процедурные вопросы организации экспертизы на соответствие критерием патентоспособности </w:t>
      </w:r>
      <w:r w:rsidRPr="00B33E69">
        <w:rPr>
          <w:rFonts w:ascii="Times New Roman" w:eastAsia="Times New Roman" w:hAnsi="Times New Roman" w:cs="Times New Roman"/>
          <w:b/>
          <w:sz w:val="24"/>
          <w:szCs w:val="24"/>
        </w:rPr>
        <w:t>предлагается вынести в специализированное учреждение – оператор патентных прав</w:t>
      </w:r>
      <w:r w:rsidRPr="00B33E69">
        <w:rPr>
          <w:rFonts w:ascii="Times New Roman" w:eastAsia="Times New Roman" w:hAnsi="Times New Roman" w:cs="Times New Roman"/>
          <w:sz w:val="24"/>
          <w:szCs w:val="24"/>
        </w:rPr>
        <w:t xml:space="preserve">, которое в смысле Парижской конвенции об охране промышленной интеллектуальной собственности будет выполнять функции патентного ведомства. Такой подход устраняет коррупционные риски, интегрирует центр патентной экспертизы непосредственно в рыночные отношения и позволяет поэтапно снизить затраты на его содержание. Подход, закрепленный в законопроекте, соответствует фактическому состоянию дел в Кыргызской Республике – у патентного ведомства сейчас нет сущностных и обоснованных реальными экономическими задачами властных полномочий. </w:t>
      </w:r>
    </w:p>
    <w:p w14:paraId="00000019" w14:textId="77777777" w:rsidR="006660FD" w:rsidRPr="00B33E69" w:rsidRDefault="002F2C2E" w:rsidP="00B3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E69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отдельных видов авторских прав – права на получение вознаграждения в случаях, когда индивидуальное управление правами затруднено и в случаях, когда законом гарантировано право на справедливое вознаграждение, </w:t>
      </w:r>
      <w:r w:rsidRPr="00B33E69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предполагается создать учреждение, выполняющего функции оператора </w:t>
      </w:r>
      <w:r w:rsidRPr="00B33E69">
        <w:rPr>
          <w:rFonts w:ascii="Times New Roman" w:eastAsia="Times New Roman" w:hAnsi="Times New Roman" w:cs="Times New Roman"/>
          <w:sz w:val="24"/>
          <w:szCs w:val="24"/>
        </w:rPr>
        <w:t xml:space="preserve">по выплатам таких вознаграждений. С учётом цифровых технологий и использования </w:t>
      </w:r>
      <w:proofErr w:type="spellStart"/>
      <w:r w:rsidRPr="00B33E69">
        <w:rPr>
          <w:rFonts w:ascii="Times New Roman" w:eastAsia="Times New Roman" w:hAnsi="Times New Roman" w:cs="Times New Roman"/>
          <w:sz w:val="24"/>
          <w:szCs w:val="24"/>
        </w:rPr>
        <w:t>блокчейн</w:t>
      </w:r>
      <w:proofErr w:type="spellEnd"/>
      <w:r w:rsidRPr="00B33E69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инфраструктуры, статус которой также определен законопроектом, создание такого </w:t>
      </w:r>
      <w:r w:rsidRPr="00B33E69">
        <w:rPr>
          <w:rFonts w:ascii="Times New Roman" w:eastAsia="Times New Roman" w:hAnsi="Times New Roman" w:cs="Times New Roman"/>
          <w:sz w:val="24"/>
          <w:szCs w:val="24"/>
        </w:rPr>
        <w:lastRenderedPageBreak/>
        <w:t>оператора – логичный этап эволюции системы организаций по коллективному управлению правами, которая создавалась на протяжении 19–20 веков.</w:t>
      </w:r>
    </w:p>
    <w:p w14:paraId="0000001A" w14:textId="77777777" w:rsidR="006660FD" w:rsidRPr="00B33E69" w:rsidRDefault="002F2C2E" w:rsidP="00B33E6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33E69">
        <w:rPr>
          <w:rFonts w:ascii="Times New Roman" w:eastAsia="Times New Roman" w:hAnsi="Times New Roman" w:cs="Times New Roman"/>
          <w:color w:val="C00000"/>
          <w:sz w:val="24"/>
          <w:szCs w:val="24"/>
        </w:rPr>
        <w:t>Люди</w:t>
      </w:r>
    </w:p>
    <w:p w14:paraId="0000001B" w14:textId="77777777" w:rsidR="006660FD" w:rsidRPr="00B33E69" w:rsidRDefault="002F2C2E" w:rsidP="00B3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E69">
        <w:rPr>
          <w:rFonts w:ascii="Times New Roman" w:eastAsia="Times New Roman" w:hAnsi="Times New Roman" w:cs="Times New Roman"/>
          <w:sz w:val="24"/>
          <w:szCs w:val="24"/>
        </w:rPr>
        <w:t xml:space="preserve">Законопроект, в отличие от законов, которые утратят силу с его принятием, возвращает в центр системы интеллектуальных прав творческих людей, которые являются основными бенефициарами новой системы регулирования. </w:t>
      </w:r>
    </w:p>
    <w:p w14:paraId="0000001C" w14:textId="77777777" w:rsidR="006660FD" w:rsidRPr="00B33E69" w:rsidRDefault="002F2C2E" w:rsidP="00B3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E69">
        <w:rPr>
          <w:rFonts w:ascii="Times New Roman" w:eastAsia="Times New Roman" w:hAnsi="Times New Roman" w:cs="Times New Roman"/>
          <w:sz w:val="24"/>
          <w:szCs w:val="24"/>
        </w:rPr>
        <w:t xml:space="preserve">Четкая и прозрачная система интеллектуальных прав сама по себе является мощным стимулом для вложений в творчество, в творческий бизнес и дает существенные преимущества для Кыргызской республики как юрисдикции, комфортной для развития креативной экономики. </w:t>
      </w:r>
    </w:p>
    <w:p w14:paraId="0000001D" w14:textId="77777777" w:rsidR="006660FD" w:rsidRPr="00B33E69" w:rsidRDefault="002F2C2E" w:rsidP="00B3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E69">
        <w:rPr>
          <w:rFonts w:ascii="Times New Roman" w:eastAsia="Times New Roman" w:hAnsi="Times New Roman" w:cs="Times New Roman"/>
          <w:sz w:val="24"/>
          <w:szCs w:val="24"/>
        </w:rPr>
        <w:t xml:space="preserve">Ориентированность норм на цифровую реализацию является значимым фактором для инвестиций в цифровые сервисы управления правами. Это влечет для граждан и бизнеса радикальное снижение издержек на управление интеллектуальными правами и оставляет больше времени и сил для творческой самореализации, а не для формальных юридических процедур. </w:t>
      </w:r>
    </w:p>
    <w:p w14:paraId="6417F8C0" w14:textId="77777777" w:rsidR="007438A1" w:rsidRPr="00B33E69" w:rsidRDefault="007438A1" w:rsidP="00B3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58EE2F" w14:textId="77777777" w:rsidR="007438A1" w:rsidRPr="00B33E69" w:rsidRDefault="007438A1" w:rsidP="00B3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3E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Прогнозы возможных социальных, экономических, правовых, правозащитных, гендерных, экологических, коррупционных последствий. </w:t>
      </w:r>
    </w:p>
    <w:p w14:paraId="67B65777" w14:textId="77777777" w:rsidR="007438A1" w:rsidRPr="00B33E69" w:rsidRDefault="007438A1" w:rsidP="00B3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3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обозначенного </w:t>
      </w:r>
      <w:r w:rsidRPr="00B33E69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проекта </w:t>
      </w:r>
      <w:r w:rsidRPr="00B33E6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социальных, экономических, правовых, правозащитных, гендерных, экологических, коррупционных</w:t>
      </w:r>
      <w:r w:rsidRPr="00B33E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33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последствий за собой не повлечёт. </w:t>
      </w:r>
    </w:p>
    <w:p w14:paraId="4E9C7A98" w14:textId="77777777" w:rsidR="007438A1" w:rsidRPr="00B33E69" w:rsidRDefault="007438A1" w:rsidP="00B33E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465AA1" w14:textId="77777777" w:rsidR="007438A1" w:rsidRPr="00B33E69" w:rsidRDefault="007438A1" w:rsidP="00B33E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3E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Информация о результатах общественного обсуждения</w:t>
      </w:r>
    </w:p>
    <w:p w14:paraId="2AC970D8" w14:textId="77777777" w:rsidR="00B64E00" w:rsidRDefault="007438A1" w:rsidP="00B33E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E69">
        <w:rPr>
          <w:rFonts w:ascii="Times New Roman" w:hAnsi="Times New Roman" w:cs="Times New Roman"/>
          <w:sz w:val="24"/>
          <w:szCs w:val="24"/>
        </w:rPr>
        <w:t>В соответствии со статьей 22 Зак</w:t>
      </w:r>
      <w:r w:rsidR="00B33E69">
        <w:rPr>
          <w:rFonts w:ascii="Times New Roman" w:hAnsi="Times New Roman" w:cs="Times New Roman"/>
          <w:sz w:val="24"/>
          <w:szCs w:val="24"/>
        </w:rPr>
        <w:t xml:space="preserve">она Кыргызской Республики </w:t>
      </w:r>
      <w:r w:rsidRPr="00B33E69">
        <w:rPr>
          <w:rFonts w:ascii="Times New Roman" w:hAnsi="Times New Roman" w:cs="Times New Roman"/>
          <w:sz w:val="24"/>
          <w:szCs w:val="24"/>
        </w:rPr>
        <w:t xml:space="preserve">«О нормативных правовых актах Кыргызской Республики» настоящий проект был размещен на официальном сайте </w:t>
      </w:r>
      <w:proofErr w:type="spellStart"/>
      <w:r w:rsidRPr="001F1A18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1F1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18">
        <w:rPr>
          <w:rFonts w:ascii="Times New Roman" w:hAnsi="Times New Roman" w:cs="Times New Roman"/>
          <w:sz w:val="24"/>
          <w:szCs w:val="24"/>
        </w:rPr>
        <w:t>Кенеша</w:t>
      </w:r>
      <w:bookmarkStart w:id="1" w:name="_GoBack"/>
      <w:bookmarkEnd w:id="1"/>
      <w:proofErr w:type="spellEnd"/>
      <w:r w:rsidRPr="00B33E69">
        <w:rPr>
          <w:rFonts w:ascii="Times New Roman" w:hAnsi="Times New Roman" w:cs="Times New Roman"/>
          <w:sz w:val="24"/>
          <w:szCs w:val="24"/>
        </w:rPr>
        <w:t xml:space="preserve"> Кыргызской Республики, в целях обеспечения процедуры общественного обсуждения. </w:t>
      </w:r>
    </w:p>
    <w:p w14:paraId="1C2B9269" w14:textId="77777777" w:rsidR="007438A1" w:rsidRPr="00B33E69" w:rsidRDefault="007438A1" w:rsidP="00B33E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EB68D8" w14:textId="77777777" w:rsidR="007438A1" w:rsidRPr="00B33E69" w:rsidRDefault="007438A1" w:rsidP="00B33E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3E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Анализ соответствия проекта законодательству</w:t>
      </w:r>
    </w:p>
    <w:p w14:paraId="059AED76" w14:textId="47C4B99D" w:rsidR="00B33E69" w:rsidRDefault="007438A1" w:rsidP="00B3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E69">
        <w:rPr>
          <w:rFonts w:ascii="Times New Roman" w:hAnsi="Times New Roman" w:cs="Times New Roman"/>
          <w:sz w:val="24"/>
          <w:szCs w:val="24"/>
        </w:rPr>
        <w:t>По результатам проведенного анализа действующих норм национального и международного законодательства установлено, что нормы представленного проекта Закона не противоречат действующи</w:t>
      </w:r>
      <w:r w:rsidR="00B33E69">
        <w:rPr>
          <w:rFonts w:ascii="Times New Roman" w:hAnsi="Times New Roman" w:cs="Times New Roman"/>
          <w:sz w:val="24"/>
          <w:szCs w:val="24"/>
        </w:rPr>
        <w:t>м нормативным правовым актом К</w:t>
      </w:r>
      <w:r w:rsidR="00B33E69">
        <w:rPr>
          <w:rFonts w:ascii="Times New Roman" w:hAnsi="Times New Roman" w:cs="Times New Roman"/>
          <w:sz w:val="24"/>
          <w:szCs w:val="24"/>
          <w:lang w:val="ky-KG"/>
        </w:rPr>
        <w:t>ыргызской Республики</w:t>
      </w:r>
      <w:r w:rsidR="00B33E69">
        <w:rPr>
          <w:rFonts w:ascii="Times New Roman" w:hAnsi="Times New Roman" w:cs="Times New Roman"/>
          <w:sz w:val="24"/>
          <w:szCs w:val="24"/>
        </w:rPr>
        <w:t>.</w:t>
      </w:r>
    </w:p>
    <w:p w14:paraId="133E25C8" w14:textId="77777777" w:rsidR="00B33E69" w:rsidRDefault="00B33E69" w:rsidP="00B3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A3B1AE" w14:textId="239481A4" w:rsidR="007438A1" w:rsidRPr="00B33E69" w:rsidRDefault="007438A1" w:rsidP="00B33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3E69">
        <w:rPr>
          <w:rFonts w:ascii="Times New Roman" w:hAnsi="Times New Roman" w:cs="Times New Roman"/>
          <w:b/>
          <w:color w:val="000000"/>
          <w:sz w:val="24"/>
          <w:szCs w:val="24"/>
        </w:rPr>
        <w:t>6. Информация о необходимости финансирования</w:t>
      </w:r>
    </w:p>
    <w:p w14:paraId="68E455C5" w14:textId="77777777" w:rsidR="007438A1" w:rsidRPr="00B33E69" w:rsidRDefault="007438A1" w:rsidP="00B33E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E69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настоящего проекта не повлечёт дополнительных финансовых затрат из республиканского бюджета. Все финансовые расходы, связанные с реализацией проекта, будут осуществляться в пределах утвержденного бюджета на соответствующий год. </w:t>
      </w:r>
    </w:p>
    <w:p w14:paraId="1429A1A9" w14:textId="77777777" w:rsidR="007438A1" w:rsidRPr="00B33E69" w:rsidRDefault="007438A1" w:rsidP="00B33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BB669F" w14:textId="77777777" w:rsidR="007438A1" w:rsidRPr="00B33E69" w:rsidRDefault="007438A1" w:rsidP="00B33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3E69">
        <w:rPr>
          <w:rFonts w:ascii="Times New Roman" w:hAnsi="Times New Roman" w:cs="Times New Roman"/>
          <w:b/>
          <w:color w:val="000000"/>
          <w:sz w:val="24"/>
          <w:szCs w:val="24"/>
        </w:rPr>
        <w:t>7. Информация об анализе регулятивного воздействия</w:t>
      </w:r>
    </w:p>
    <w:p w14:paraId="14AC1E2D" w14:textId="6111A0F6" w:rsidR="009A3348" w:rsidRDefault="007438A1" w:rsidP="00B33E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E69">
        <w:rPr>
          <w:rFonts w:ascii="Times New Roman" w:hAnsi="Times New Roman" w:cs="Times New Roman"/>
          <w:color w:val="000000"/>
          <w:sz w:val="24"/>
          <w:szCs w:val="24"/>
        </w:rPr>
        <w:t>Представленный проект не подлежит анализу регулятивного воздействия, поскольку не направлен на урегулирование предпринимательской деятельности.</w:t>
      </w:r>
    </w:p>
    <w:p w14:paraId="7C58F0E7" w14:textId="77777777" w:rsidR="00B33E69" w:rsidRDefault="00B33E69" w:rsidP="00B33E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1ED190" w14:textId="77777777" w:rsidR="00B33E69" w:rsidRPr="00B33E69" w:rsidRDefault="00B33E69" w:rsidP="00B33E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FF12FD" w14:textId="77777777" w:rsidR="00B64E00" w:rsidRDefault="009A3348" w:rsidP="00B64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33E69">
        <w:rPr>
          <w:rFonts w:ascii="Times New Roman" w:hAnsi="Times New Roman" w:cs="Times New Roman"/>
          <w:b/>
          <w:sz w:val="24"/>
          <w:szCs w:val="24"/>
        </w:rPr>
        <w:t>Депутат</w:t>
      </w:r>
      <w:r w:rsidR="00B64E00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14:paraId="04FC48DE" w14:textId="77777777" w:rsidR="00B64E00" w:rsidRDefault="00B64E00" w:rsidP="00B64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Жогорку Кенеша </w:t>
      </w:r>
    </w:p>
    <w:p w14:paraId="2A0E72F3" w14:textId="48A58A70" w:rsidR="009A3348" w:rsidRPr="00B33E69" w:rsidRDefault="00B64E00" w:rsidP="00B64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Кыргызской Республики </w:t>
      </w:r>
    </w:p>
    <w:p w14:paraId="6109BB07" w14:textId="77777777" w:rsidR="007438A1" w:rsidRPr="00B33E69" w:rsidRDefault="007438A1" w:rsidP="00B33E6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438A1" w:rsidRPr="00B33E69" w:rsidSect="00B33E69">
      <w:pgSz w:w="11906" w:h="16838"/>
      <w:pgMar w:top="1276" w:right="991" w:bottom="932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A6933"/>
    <w:multiLevelType w:val="multilevel"/>
    <w:tmpl w:val="105CDA0C"/>
    <w:lvl w:ilvl="0">
      <w:start w:val="1"/>
      <w:numFmt w:val="bullet"/>
      <w:lvlText w:val="−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01D1C70"/>
    <w:multiLevelType w:val="multilevel"/>
    <w:tmpl w:val="4EB4C06C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FD"/>
    <w:rsid w:val="001F1A18"/>
    <w:rsid w:val="001F3AD1"/>
    <w:rsid w:val="002F2C2E"/>
    <w:rsid w:val="006660FD"/>
    <w:rsid w:val="007438A1"/>
    <w:rsid w:val="00962344"/>
    <w:rsid w:val="009A3348"/>
    <w:rsid w:val="00B33E69"/>
    <w:rsid w:val="00B6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E5CA4-2E69-49FB-9654-D617C142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43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2022-07-22T04:20:00Z</dcterms:created>
  <dcterms:modified xsi:type="dcterms:W3CDTF">2022-07-22T08:44:00Z</dcterms:modified>
</cp:coreProperties>
</file>